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Bone Marrow-derived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Primary Bone Marrow-derived Endothelial Cells from Cell Biologics are isolated from C57BL/6-Tg (CAG-EGFP) 1Osb/J mouse bone marrow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M7eCWp3cpc/eEtpG3CH3hvkOQ==">CgMxLjA4AHIhMWpDeXI5Z0EyclZUWGFaRUNvTk9KT0NJZjFaZG5Nb2pk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2022-10-13T14:58:00Z</dcterms:created>
  <dc:creator>Jeanne Chang</dc:creator>
</cp:coreProperties>
</file>