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Bone Marrow-derived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db-6221</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Bone Marrow-derived Endothelial Cells are isolated from </w:t>
      </w:r>
      <w:r w:rsidDel="00000000" w:rsidR="00000000" w:rsidRPr="00000000">
        <w:rPr>
          <w:rFonts w:ascii="Arial" w:cs="Arial" w:eastAsia="Arial" w:hAnsi="Arial"/>
          <w:sz w:val="22"/>
          <w:szCs w:val="22"/>
          <w:rtl w:val="0"/>
        </w:rPr>
        <w:t xml:space="preserve">the bone marrow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Bone Marrow-derived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Zx9Q1398eEGQYR2KxNUh9N5HA==">CgMxLjAyDWgub21vZmE4cGFrams4AHIhMWNxYklRcXVmRkk5MFUtdDhnQ1R5SGJ6Z2lOLUcxVGIx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2022-10-13T14:58:00Z</dcterms:created>
  <dc:creator>Jeanne Chang</dc:creator>
</cp:coreProperties>
</file>