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Prostate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db-6027</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Microvascular Endothelial Cells are isolated from </w:t>
      </w:r>
      <w:r w:rsidDel="00000000" w:rsidR="00000000" w:rsidRPr="00000000">
        <w:rPr>
          <w:rFonts w:ascii="Arial" w:cs="Arial" w:eastAsia="Arial" w:hAnsi="Arial"/>
          <w:sz w:val="22"/>
          <w:szCs w:val="22"/>
          <w:rtl w:val="0"/>
        </w:rPr>
        <w:t xml:space="preserve">the prostate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Prostate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pS1KXRu7z5FuhWr1AIFHh/zIQ==">CgMxLjAyDWgub21vZmE4cGFrams4AHIhMVkxaGRYd2NuT3BmUDdrSzkzMXBQR21HVU9neEpqMHZK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