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Intestinal Mesenteric 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Intestinal Mesenteric Vascular Endothelial Cells from Cell Biologics are isolated from intestines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Intestinal Mesenteric 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2m1o9fdhBf1x5GgDqiOcULF08Q==">CgMxLjA4AHIhMUtFa255MmtJN2JWQjNtTk1CVUFRMU9XNW51NkNFUjNL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2022-10-13T15:04:00Z</dcterms:created>
  <dc:creator>Jeanne Chang</dc:creator>
</cp:coreProperties>
</file>