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Ovarian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Microvascular Endothelial Cells are isolated from </w:t>
      </w:r>
      <w:r w:rsidDel="00000000" w:rsidR="00000000" w:rsidRPr="00000000">
        <w:rPr>
          <w:rFonts w:ascii="Arial" w:cs="Arial" w:eastAsia="Arial" w:hAnsi="Arial"/>
          <w:sz w:val="22"/>
          <w:szCs w:val="22"/>
          <w:rtl w:val="0"/>
        </w:rPr>
        <w:t xml:space="preserve">the ovarian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Ovarian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HYvnAKfdULdm2avFa2EeZqThg==">CgMxLjAyDmgubm1lbmxnZWtkcmZoOAByITE3THcxTVFBXzRmMUxrb2JGeFNMakpEcVR0eFB4ajIxUA==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2022-10-13T15:08:00Z</dcterms:created>
  <dc:creator>Jeanne Chang</dc:creator>
</cp:coreProperties>
</file>