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Spleen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Spleen Endothelial Cells are isolated from </w:t>
      </w:r>
      <w:r w:rsidDel="00000000" w:rsidR="00000000" w:rsidRPr="00000000">
        <w:rPr>
          <w:rFonts w:ascii="Arial" w:cs="Arial" w:eastAsia="Arial" w:hAnsi="Arial"/>
          <w:sz w:val="22"/>
          <w:szCs w:val="22"/>
          <w:rtl w:val="0"/>
        </w:rPr>
        <w:t xml:space="preserve">the spleen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Spleen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o1hJ8m29oe9vcgxE0qmsUv+SEw==">CgMxLjAyDmgubm1lbmxnZWtkcmZoOAByITE5RHhKVHFLYmNZb0Z0OEczUlB2TWhEb1JLMjU0Q2ZyRg==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2022-10-13T16:11:00Z</dcterms:created>
  <dc:creator>Jeanne Chang</dc:creator>
</cp:coreProperties>
</file>