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Lung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Microvascular Endothelial Cells are isolated from </w:t>
      </w:r>
      <w:r w:rsidDel="00000000" w:rsidR="00000000" w:rsidRPr="00000000">
        <w:rPr>
          <w:rFonts w:ascii="Arial" w:cs="Arial" w:eastAsia="Arial" w:hAnsi="Arial"/>
          <w:sz w:val="22"/>
          <w:szCs w:val="22"/>
          <w:rtl w:val="0"/>
        </w:rPr>
        <w:t xml:space="preserve">the lung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Lung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CAdUKiV7xO+02Ah9yUChW6dJQA==">CgMxLjAyDmgubm1lbmxnZWtkcmZoOAByITFLZjdwUHgtRExjUTU4Z1g3eERIMWRuWkhCNW1mUDNkTw==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