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C57-6027RFP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Prostate Microvascular Endothelial Cells from Cell Biologics are isolated from</w:t>
      </w:r>
      <w:r w:rsidDel="00000000" w:rsidR="00000000" w:rsidRPr="00000000">
        <w:rPr>
          <w:rFonts w:ascii="Arial" w:cs="Arial" w:eastAsia="Arial" w:hAnsi="Arial"/>
          <w:sz w:val="22"/>
          <w:szCs w:val="22"/>
          <w:highlight w:val="white"/>
          <w:rtl w:val="0"/>
        </w:rPr>
        <w:t xml:space="preserve"> the </w:t>
      </w:r>
      <w:r w:rsidDel="00000000" w:rsidR="00000000" w:rsidRPr="00000000">
        <w:rPr>
          <w:rFonts w:ascii="Arial" w:cs="Arial" w:eastAsia="Arial" w:hAnsi="Arial"/>
          <w:sz w:val="21"/>
          <w:szCs w:val="21"/>
          <w:highlight w:val="white"/>
          <w:rtl w:val="0"/>
        </w:rPr>
        <w:t xml:space="preserve">prostate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Prostate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cJor8rt37yZyCyg6S1nv4fG+sw==">AMUW2mUcMrJxLGMY01+w1FUZyGfdt70V582+60ObIT/p7UXptqjyhSmjlnSPG+5SHWtqUz50GAuAN/huDymZaUFn8Rzy06dOkCHTsJn1dSlbJsT72wiT8ks=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2022-10-13T16:33:00Z</dcterms:created>
  <dc:creator>Jeanne Chang</dc:creator>
</cp:coreProperties>
</file>