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C57-6020RFP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C57BL/6 Mouse Primary Mammary Microvascular Endothelial Cells from Cell Biologics are isolated from</w:t>
      </w:r>
      <w:r w:rsidDel="00000000" w:rsidR="00000000" w:rsidRPr="00000000">
        <w:rPr>
          <w:rFonts w:ascii="Arial" w:cs="Arial" w:eastAsia="Arial" w:hAnsi="Arial"/>
          <w:sz w:val="22"/>
          <w:szCs w:val="22"/>
          <w:highlight w:val="white"/>
          <w:rtl w:val="0"/>
        </w:rPr>
        <w:t xml:space="preserve"> the</w:t>
      </w:r>
      <w:r w:rsidDel="00000000" w:rsidR="00000000" w:rsidRPr="00000000">
        <w:rPr>
          <w:rFonts w:ascii="Arial" w:cs="Arial" w:eastAsia="Arial" w:hAnsi="Arial"/>
          <w:sz w:val="21"/>
          <w:szCs w:val="21"/>
          <w:highlight w:val="white"/>
          <w:rtl w:val="0"/>
        </w:rPr>
        <w:t xml:space="preserve"> breast tissues of pathogen-free laboratory </w:t>
      </w:r>
      <w:r w:rsidDel="00000000" w:rsidR="00000000" w:rsidRPr="00000000">
        <w:rPr>
          <w:rFonts w:ascii="Arial" w:cs="Arial" w:eastAsia="Arial" w:hAnsi="Arial"/>
          <w:sz w:val="22"/>
          <w:szCs w:val="22"/>
          <w:rtl w:val="0"/>
        </w:rPr>
        <w:t xml:space="preserve">C57BL/6</w:t>
      </w:r>
      <w:r w:rsidDel="00000000" w:rsidR="00000000" w:rsidRPr="00000000">
        <w:rPr>
          <w:rFonts w:ascii="Arial" w:cs="Arial" w:eastAsia="Arial" w:hAnsi="Arial"/>
          <w:sz w:val="21"/>
          <w:szCs w:val="21"/>
          <w:highlight w:val="white"/>
          <w:rtl w:val="0"/>
        </w:rPr>
        <w:t xml:space="preserve">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Mammary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llptz5RknIwpjXi5uq1AZKNRmQ==">CgMxLjA4AHIhMXJpeU1KQ1c3Z1hlN0VTUVRIbV8tVFV1WWJRZWw0S0RC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2022-10-13T16:31:00Z</dcterms:created>
  <dc:creator>Jeanne Chang</dc:creator>
</cp:coreProperties>
</file>