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Coronary Artery Endothelial Cells from Cell Biologics are isolated from coronary artery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w:t>
      </w:r>
      <w:r w:rsidDel="00000000" w:rsidR="00000000" w:rsidRPr="00000000">
        <w:rPr>
          <w:rFonts w:ascii="Arial" w:cs="Arial" w:eastAsia="Arial" w:hAnsi="Arial"/>
          <w:sz w:val="22"/>
          <w:szCs w:val="22"/>
          <w:highlight w:val="white"/>
          <w:rtl w:val="0"/>
        </w:rPr>
        <w:t xml:space="preserve"> Primary Coronary Artery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72BbpdZsVpi5dHe/r1pFjh+WSA==">CgMxLjA4AHIhMThzSUhTeDZhSm1XZkxwcGhQOVNvNEJITGRyYlZCcEg1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2022-11-28T20:16:00Z</dcterms:created>
  <dc:creator>Jeanne Chang</dc:creator>
</cp:coreProperties>
</file>