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Pulmonary Vein Endothelial Cells from Cell Biologics are isolated pulmonary vein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Pulmonary Vein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Fk+8Go1RNXFdae0Xv+ojS3PuNQ==">CgMxLjA4AHIhMXhOSThqNHNHLW1rQXA1RjlINGNrLW9zMjBMTEY2Xy0z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2022-11-28T22:29:00Z</dcterms:created>
  <dc:creator>Jeanne Chang</dc:creator>
</cp:coreProperties>
</file>