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w:t>
      </w:r>
      <w:r w:rsidDel="00000000" w:rsidR="00000000" w:rsidRPr="00000000">
        <w:rPr>
          <w:rFonts w:ascii="Arial" w:cs="Arial" w:eastAsia="Arial" w:hAnsi="Arial"/>
          <w:sz w:val="22"/>
          <w:szCs w:val="22"/>
          <w:rtl w:val="0"/>
        </w:rPr>
        <w:t xml:space="preserve">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Uterine Microvascular Endothelial Cells from Cell Biologics are isolated from uterine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Uterine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hvuHDuRZXmaKSTIZBrQDu3GGQ==">CgMxLjA4AHIhMUpCUml3NndIeHlkQjJKaEhVUno5S0d1VXF1WEI0a3lw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2022-10-12T21:47:00Z</dcterms:created>
  <dc:creator>Jeanne Chang</dc:creator>
</cp:coreProperties>
</file>