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-152398</wp:posOffset>
            </wp:positionV>
            <wp:extent cx="1922780" cy="401320"/>
            <wp:effectExtent b="0" l="0" r="0" t="0"/>
            <wp:wrapNone/>
            <wp:docPr id="2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22780" cy="401320"/>
                    </a:xfrm>
                    <a:prstGeom prst="rect"/>
                    <a:ln/>
                  </pic:spPr>
                </pic:pic>
              </a:graphicData>
            </a:graphic>
          </wp:anchor>
        </w:drawing>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Bladder Microvascular Endothelial Cells from Cell Biologics are isolated from bladder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Bladder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6DQPrEofS51QzE9TkjOLbrdErA==">CgMxLjA4AHIhMTd2UXpFcWdRcnhWU1BtbXFTTTlOUHR5Y3MwVkxzckhE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2022-11-30T16:24:00Z</dcterms:created>
  <dc:creator>Jeanne Chang</dc:creator>
</cp:coreProperties>
</file>