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Small Intestinal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Microvascular Endothelial Cells from Cell Biologics are isolated from small intestine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Small Intestinal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VhPK+Yi7MpBqqkF39cSoovL1g==">CgMxLjA4AHIhMUZmUTRzM0M4cEhEWTVRTzdpWUlfN3pSeDBSRFFBWGk1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2022-10-12T17:22:00Z</dcterms:created>
  <dc:creator>Jeanne Chang</dc:creator>
</cp:coreProperties>
</file>