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Pancreatic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A57-6206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Pancreatic Microvascular Endothelial Cells from Cell Biologics are isolated from pancreatic tissues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Pancreatic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nu3rPIpOx2iUZmfA1WkAEBTccQ==">CgMxLjA4AHIhMWREZDZDaGdwR2VkWm96NUY0TkRNdG5zeEQ5UU1uNlMz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2022-10-12T19:15:00Z</dcterms:created>
  <dc:creator>Jeanne Chang</dc:creator>
</cp:coreProperties>
</file>