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Aged Mouse Primary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Mouse Primary Artery Endothelial Cells from Cell Biologics are isolated </w:t>
      </w:r>
      <w:r w:rsidDel="00000000" w:rsidR="00000000" w:rsidRPr="00000000">
        <w:rPr>
          <w:rFonts w:ascii="Arial" w:cs="Arial" w:eastAsia="Arial" w:hAnsi="Arial"/>
          <w:sz w:val="22"/>
          <w:szCs w:val="22"/>
          <w:rtl w:val="0"/>
        </w:rPr>
        <w:t xml:space="preserve">from the artery tissues of 62-78 week old pathogen-free laboratory mice </w:t>
      </w:r>
      <w:r w:rsidDel="00000000" w:rsidR="00000000" w:rsidRPr="00000000">
        <w:rPr>
          <w:rFonts w:ascii="Arial" w:cs="Arial" w:eastAsia="Arial" w:hAnsi="Arial"/>
          <w:sz w:val="22"/>
          <w:szCs w:val="22"/>
          <w:rtl w:val="0"/>
        </w:rPr>
        <w:t xml:space="preserve">and 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Mouse Primary Artery Endothelial Cells are characterized by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laqbHIUOALEl9vl/oWGK20LyQ==">CgMxLjA4AHIhMWowMTBQNlR3M213bnV6TXA5TjNVby1MYjJPVVhsdXNE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2022-10-12T18:41:00Z</dcterms:created>
  <dc:creator>Jeanne Chang</dc:creator>
</cp:coreProperties>
</file>