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HP-6219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Hypertension primary uterine microvascular endothelial cells were isolated from human uterine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y02fIAYv/KADEmshQWJUsQt7fQ==">CgMxLjAyCGguZ2pkZ3hzOAByITFUWWE0MlRzOW9EUm5Pc3RwTWhlOUxpMy1jMUdDNTU4aQ==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