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cardiac microvascular endothelial cells were isolated from heart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ytWX+J9pOEfyxVHe0WIrDgDWg==">CgMxLjAyCGguZ2pkZ3hzOAByITFqQkRkNWcyV0tQYVViTG1VTkh6Rjl6a3BMTXhlTHBVUg==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