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4597400</wp:posOffset>
                </wp:positionH>
                <wp:positionV relativeFrom="paragraph">
                  <wp:posOffset>-152399</wp:posOffset>
                </wp:positionV>
                <wp:extent cx="1998980" cy="477520"/>
                <wp:effectExtent b="0" l="0" r="0" t="0"/>
                <wp:wrapNone/>
                <wp:docPr id="41"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4597400</wp:posOffset>
                </wp:positionH>
                <wp:positionV relativeFrom="paragraph">
                  <wp:posOffset>-152399</wp:posOffset>
                </wp:positionV>
                <wp:extent cx="1998980" cy="477520"/>
                <wp:effectExtent b="0" l="0" r="0" t="0"/>
                <wp:wrapNone/>
                <wp:docPr id="4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98980" cy="4775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Uterine Microvascular Endothelial Cells from Cell Biologics are isolated from the uterine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-898511</wp:posOffset>
          </wp:positionH>
          <wp:positionV relativeFrom="paragraph">
            <wp:posOffset>-240018</wp:posOffset>
          </wp:positionV>
          <wp:extent cx="7746285" cy="1028700"/>
          <wp:effectExtent b="0" l="0" r="0" t="0"/>
          <wp:wrapNone/>
          <wp:docPr descr="Background pattern&#10;&#10;Description automatically generated with low confidence" id="4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-3295637</wp:posOffset>
          </wp:positionH>
          <wp:positionV relativeFrom="paragraph">
            <wp:posOffset>-380990</wp:posOffset>
          </wp:positionV>
          <wp:extent cx="7772400" cy="1047750"/>
          <wp:effectExtent b="0" l="0" r="0" t="0"/>
          <wp:wrapNone/>
          <wp:docPr id="4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y8Ny9jNwbcn602tfqF99DKoRA==">CgMxLjAyCGguZ2pkZ3hzOAByITE0RWhwSUdYREtwa1BwRzFTai1QTXBMeTVEQVA5eTVpVg==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