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Human Primary Diabetic Gallbladder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Gallbladder Endothelial Cells from Cell Biologics are isolated from the gallbladder tissue </w:t>
      </w:r>
      <w:r w:rsidDel="00000000" w:rsidR="00000000" w:rsidRPr="00000000">
        <w:rPr>
          <w:rFonts w:ascii="Arial" w:cs="Arial" w:eastAsia="Arial" w:hAnsi="Arial"/>
          <w:sz w:val="22"/>
          <w:szCs w:val="22"/>
          <w:rtl w:val="0"/>
        </w:rPr>
        <w:t xml:space="preserve">of a human donor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Gallbladder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-240018</wp:posOffset>
          </wp:positionV>
          <wp:extent cx="7746285" cy="1028700"/>
          <wp:effectExtent b="0" l="0" r="0" t="0"/>
          <wp:wrapNone/>
          <wp:docPr descr="Background pattern&#10;&#10;Description automatically generated with low confidence" id="4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-3295637</wp:posOffset>
          </wp:positionH>
          <wp:positionV relativeFrom="paragraph">
            <wp:posOffset>-380990</wp:posOffset>
          </wp:positionV>
          <wp:extent cx="7772400" cy="1047750"/>
          <wp:effectExtent b="0" l="0" r="0" t="0"/>
          <wp:wrapNone/>
          <wp:docPr id="3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hxohh/hbj+VzruMp0z9vW5q+w==">CgMxLjAyCGguZ2pkZ3hzOAByITEwc0tjRFFYNkVEb09LbW9LaG1abGxXR2wtUFNmVUdvRA==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