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Mammary Microvascular Endothelial Cells from Cell Biologics are isolated from the breast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qiN/qhi832G4rhtgQ1Nq6ohGw==">CgMxLjAyCGguZ2pkZ3hzOAByITFidEtDSXpmN3VSRXhTZHFob0FGMzF2UHlFMVVWMjA5Uw==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