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4597400</wp:posOffset>
                </wp:positionH>
                <wp:positionV relativeFrom="paragraph">
                  <wp:posOffset>-152399</wp:posOffset>
                </wp:positionV>
                <wp:extent cx="1998980" cy="477520"/>
                <wp:effectExtent b="0" l="0" r="0" t="0"/>
                <wp:wrapNone/>
                <wp:docPr id="4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4597400</wp:posOffset>
                </wp:positionH>
                <wp:positionV relativeFrom="paragraph">
                  <wp:posOffset>-152399</wp:posOffset>
                </wp:positionV>
                <wp:extent cx="1998980" cy="477520"/>
                <wp:effectExtent b="0" l="0" r="0" t="0"/>
                <wp:wrapNone/>
                <wp:docPr id="4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98980" cy="4775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Uterine Microvascular Endothelial Cells from Cell Biologics are isolated from human uterine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-898511</wp:posOffset>
          </wp:positionH>
          <wp:positionV relativeFrom="paragraph">
            <wp:posOffset>-240019</wp:posOffset>
          </wp:positionV>
          <wp:extent cx="7746285" cy="1028700"/>
          <wp:effectExtent b="0" l="0" r="0" t="0"/>
          <wp:wrapNone/>
          <wp:docPr descr="Background pattern&#10;&#10;Description automatically generated with low confidence" id="4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-380990</wp:posOffset>
          </wp:positionV>
          <wp:extent cx="7772400" cy="1047750"/>
          <wp:effectExtent b="0" l="0" r="0" t="0"/>
          <wp:wrapNone/>
          <wp:docPr id="4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MlzE/aggzRSbEBivVXzQrt2pNA==">CgMxLjAyCGguZ2pkZ3hzOAByITF1aFhYVVJzeXBVVEhPOWxYSnpxVFBUNVFKcmlvRUJ1RQ==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