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Thymus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Thymus Tumor-Associated Endothelial Cells from Cell Biologics are isolated from human thymus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Thymus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Hw1UlybCC7NjZZP4TZJZqxcVuw==">CgMxLjAyCGguZ2pkZ3hzOAByITFPRHVhakhlMHZnZVBPLWdSTnpkWFJrYWx6MDEzR0sxNA==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