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Prostate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Microvascular Tumor-Associated Endothelial Cells from Cell Biologics are isolated from human prostate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Prostate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2H0FRhgZi3bh0ZiVr2J86ErHIA==">CgMxLjAyCGguZ2pkZ3hzOAByITFGUEFFLThmYWhWbFgtNU5oeVJtQWpvLUwtUlU3dlJiWA==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2022-10-27T15:50:00Z</dcterms:created>
  <dc:creator>Jeanne Chang</dc:creator>
</cp:coreProperties>
</file>