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Human Primary Small Intestinal Microvascular Tumor-Associated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HC-6054Cre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Cre-Expressing Human Primary Small Intestinal Microvascular Tumor-Associated Endothelial Cells from Cell Biologics are isolated from human small intestinal tumor tissue. These cells are grown in gelatin pre-coated tissue culture flasks with Cell Biologics’ Complete Growth Medium and harvested from flasks at passage 3. Each vial contains 0.5x106 cells per ml. Cells are characterized</w:t>
      </w:r>
      <w:r w:rsidDel="00000000" w:rsidR="00000000" w:rsidRPr="00000000">
        <w:rPr>
          <w:rFonts w:ascii="Arial" w:cs="Arial" w:eastAsia="Arial" w:hAnsi="Arial"/>
          <w:sz w:val="22"/>
          <w:szCs w:val="22"/>
          <w:rtl w:val="0"/>
        </w:rPr>
        <w:t xml:space="preserve">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 </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Cell Biologics generates the Cre-expressing stable cells by transducing Cre recombinase. LOXP constructs are transfected into the stable cells that can be used for a variety of biological assays.</w:t>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Small Intestinal Microvascular Tumor-Associated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2G1UAhWW51qf61vz3VvbleAWsg==">CgMxLjAyCGguZ2pkZ3hzOAByITFhOTJRd0dtTFYtNm5VUEhKU0FrekcxUDU2SlVERC1IQQ==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2022-10-27T15:53:00Z</dcterms:created>
  <dc:creator>Jeanne Chang</dc:creator>
</cp:coreProperties>
</file>