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H-6092Luc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Lymphatic  Endothelial Cells from Cell Biologics are isolated from human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Lymphatic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I7FQ4NPZOlGLYkNqdy3k1NcDg==">CgMxLjAyCGguZ2pkZ3hzOAByITFUMlF6aEpwbThVOTV4VEZCWXc1TkNNX3hxT2lWQTJuQw==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2022-10-27T21:19:00Z</dcterms:created>
  <dc:creator>Jeanne Chang</dc:creator>
</cp:coreProperties>
</file>