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GFP-Expressing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H-6008IM.GFP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Immortalized GFP-Expressing</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Human Primary Artery Endothelial Cells from Cell Biologics are isolated from human artery tissue and grown in gelatin pre-coated tissue culture flask with Cell Biologics’ Complete Growth </w:t>
      </w:r>
      <w:r w:rsidDel="00000000" w:rsidR="00000000" w:rsidRPr="00000000">
        <w:rPr>
          <w:rFonts w:ascii="Arial" w:cs="Arial" w:eastAsia="Arial" w:hAnsi="Arial"/>
          <w:color w:val="000000"/>
          <w:sz w:val="21"/>
          <w:szCs w:val="21"/>
          <w:rtl w:val="0"/>
        </w:rPr>
        <w:t xml:space="preserve">Medium</w:t>
      </w:r>
      <w:r w:rsidDel="00000000" w:rsidR="00000000" w:rsidRPr="00000000">
        <w:rPr>
          <w:rFonts w:ascii="Arial" w:cs="Arial" w:eastAsia="Arial" w:hAnsi="Arial"/>
          <w:sz w:val="21"/>
          <w:szCs w:val="21"/>
          <w:rtl w:val="0"/>
        </w:rPr>
        <w:t xml:space="preserve">. Cells at passage 3 are harvested from flasks and cryo-preserved in vials. Each vial contains 0.5x10</w:t>
      </w:r>
      <w:r w:rsidDel="00000000" w:rsidR="00000000" w:rsidRPr="00000000">
        <w:rPr>
          <w:rFonts w:ascii="Arial" w:cs="Arial" w:eastAsia="Arial" w:hAnsi="Arial"/>
          <w:sz w:val="21"/>
          <w:szCs w:val="21"/>
          <w:vertAlign w:val="superscript"/>
          <w:rtl w:val="0"/>
        </w:rPr>
        <w:t xml:space="preserve">6</w:t>
      </w:r>
      <w:r w:rsidDel="00000000" w:rsidR="00000000" w:rsidRPr="00000000">
        <w:rPr>
          <w:rFonts w:ascii="Arial" w:cs="Arial" w:eastAsia="Arial" w:hAnsi="Arial"/>
          <w:sz w:val="21"/>
          <w:szCs w:val="21"/>
          <w:rtl w:val="0"/>
        </w:rPr>
        <w:t xml:space="preserve"> cells per ml and is delivered frozen. Immortalized GFP-Expressing Human Primary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highlight w:val="yellow"/>
        </w:rPr>
      </w:pPr>
      <w:r w:rsidDel="00000000" w:rsidR="00000000" w:rsidRPr="00000000">
        <w:rPr>
          <w:rFonts w:ascii="Arial" w:cs="Arial" w:eastAsia="Arial" w:hAnsi="Arial"/>
          <w:sz w:val="21"/>
          <w:szCs w:val="21"/>
          <w:highlight w:val="yellow"/>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bookmarkStart w:colFirst="0" w:colLast="0" w:name="_heading=h.gjdgxs" w:id="0"/>
      <w:bookmarkEnd w:id="0"/>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Immortalized GFP-Expressing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j3I34U8fPdllx20yzrPR3sJewg==">AMUW2mU6SB8jQSZkxRPVAn/K4ntt079S6ZbBDSMU99JN36p4TxuPI974L1RDANOOkmBOnOjXDWTAwes5JutIUoNAKdYC/6R4YpMjHqaDu+TvgFmteTn/1CumZXY7OyDZgZGTSNZu8Cz6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