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Prostate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ZL1y/XpYhnXVue+KC2qkbHig==">CgMxLjAyCGguZ2pkZ3hzOAByITFWUmsxTTR3Rlh0Y1pvSVdiY1lOcU9FOFRfMnl6ZTlENA==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2023-01-23T21:17:00Z</dcterms:created>
  <dc:creator>Jeanne Chang</dc:creator>
</cp:coreProperties>
</file>