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Human Primary Spleen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H-6057</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Human Primary Spleen Endothelial Cells from Cell Biologics</w:t>
      </w:r>
      <w:r w:rsidDel="00000000" w:rsidR="00000000" w:rsidRPr="00000000">
        <w:rPr>
          <w:rFonts w:ascii="Arial" w:cs="Arial" w:eastAsia="Arial" w:hAnsi="Arial"/>
          <w:sz w:val="22"/>
          <w:szCs w:val="22"/>
          <w:rtl w:val="0"/>
        </w:rPr>
        <w:t xml:space="preserve"> are isolated from </w:t>
      </w:r>
      <w:r w:rsidDel="00000000" w:rsidR="00000000" w:rsidRPr="00000000">
        <w:rPr>
          <w:rFonts w:ascii="Arial" w:cs="Arial" w:eastAsia="Arial" w:hAnsi="Arial"/>
          <w:sz w:val="22"/>
          <w:szCs w:val="22"/>
          <w:rtl w:val="0"/>
        </w:rPr>
        <w:t xml:space="preserve">human spleen tissue</w:t>
      </w:r>
      <w:r w:rsidDel="00000000" w:rsidR="00000000" w:rsidRPr="00000000">
        <w:rPr>
          <w:rFonts w:ascii="Arial" w:cs="Arial" w:eastAsia="Arial" w:hAnsi="Arial"/>
          <w:sz w:val="22"/>
          <w:szCs w:val="22"/>
          <w:rtl w:val="0"/>
        </w:rPr>
        <w:t xml:space="preserve">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w:t>
      </w:r>
      <w:r w:rsidDel="00000000" w:rsidR="00000000" w:rsidRPr="00000000">
        <w:rPr>
          <w:rFonts w:ascii="Arial" w:cs="Arial" w:eastAsia="Arial" w:hAnsi="Arial"/>
          <w:sz w:val="22"/>
          <w:szCs w:val="22"/>
          <w:rtl w:val="0"/>
        </w:rPr>
        <w:t xml:space="preserve"> and is delivered frozen. </w:t>
      </w:r>
      <w:r w:rsidDel="00000000" w:rsidR="00000000" w:rsidRPr="00000000">
        <w:rPr>
          <w:rFonts w:ascii="Arial" w:cs="Arial" w:eastAsia="Arial" w:hAnsi="Arial"/>
          <w:sz w:val="22"/>
          <w:szCs w:val="22"/>
          <w:rtl w:val="0"/>
        </w:rPr>
        <w:t xml:space="preserve">Human Primary Spleen Endothelial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are not recommended. </w:t>
      </w:r>
      <w:r w:rsidDel="00000000" w:rsidR="00000000" w:rsidRPr="00000000">
        <w:rPr>
          <w:rFonts w:ascii="Arial" w:cs="Arial" w:eastAsia="Arial" w:hAnsi="Arial"/>
          <w:sz w:val="22"/>
          <w:szCs w:val="22"/>
          <w:rtl w:val="0"/>
        </w:rPr>
        <w:t xml:space="preserve">Human Primary Spleen Endothelial Cells</w:t>
      </w:r>
      <w:r w:rsidDel="00000000" w:rsidR="00000000" w:rsidRPr="00000000">
        <w:rPr>
          <w:rFonts w:ascii="Arial" w:cs="Arial" w:eastAsia="Arial" w:hAnsi="Arial"/>
          <w:sz w:val="22"/>
          <w:szCs w:val="22"/>
          <w:rtl w:val="0"/>
        </w:rPr>
        <w:t xml:space="preserve">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Human Primary Spleen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KcNFLW28zOHYII8ih1tNu22KtRA==">CgMxLjAyCGguZ2pkZ3hzOAByITFlLTh6QVNLMXA4QzVCcDhNQTdycWlKUDZNeEJCYzJ5Mw==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2022-10-27T15:54:00Z</dcterms:created>
  <dc:creator>Jeanne Chang</dc:creator>
</cp:coreProperties>
</file>