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Hamster Primary Thyroid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HM-6058IM</w:t>
      </w:r>
    </w:p>
    <w:p w:rsidR="00000000" w:rsidDel="00000000" w:rsidP="00000000" w:rsidRDefault="00000000" w:rsidRPr="00000000" w14:paraId="00000005">
      <w:pPr>
        <w:ind w:right="-72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Hamster Primary Thyroid Endothelial Cells from Cell Biologics are isolated from the thyroid tissue of Syrian hamsters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Hamster Primary Thyroid Endothelial Cells are characterized by use of fluorescence-labeled acetylated low-density lipoprotein (DiI-Ac-LDL) uptake (Catalog No. L-35353, Invitrogen), a functional marker for endothelial cells.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Helvetica Neue" w:cs="Helvetica Neue" w:eastAsia="Helvetica Neue" w:hAnsi="Helvetica Neue"/>
          <w:sz w:val="22"/>
          <w:szCs w:val="22"/>
          <w:highlight w:val="white"/>
        </w:rPr>
      </w:pPr>
      <w:r w:rsidDel="00000000" w:rsidR="00000000" w:rsidRPr="00000000">
        <w:rPr>
          <w:rFonts w:ascii="Arial" w:cs="Arial" w:eastAsia="Arial" w:hAnsi="Arial"/>
          <w:sz w:val="22"/>
          <w:szCs w:val="22"/>
          <w:highlight w:val="white"/>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Hamster Primary Thyroid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5W5s39JmtEw/XmH30EgyzLB3Bg==">CgMxLjAyCGguZ2pkZ3hzOAByITFVOUVQRC1NVTBBTjZvLTNUQ3N6OWdzc2Y2eEdTRFRaZA==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2022-10-05T16:43:00Z</dcterms:created>
  <dc:creator>Jeanne Chang</dc:creator>
</cp:coreProperties>
</file>