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Artery Endothelial Cells from Cell Biologics are isolated </w:t>
      </w:r>
      <w:r w:rsidDel="00000000" w:rsidR="00000000" w:rsidRPr="00000000">
        <w:rPr>
          <w:rFonts w:ascii="Arial" w:cs="Arial" w:eastAsia="Arial" w:hAnsi="Arial"/>
          <w:sz w:val="22"/>
          <w:szCs w:val="22"/>
          <w:rtl w:val="0"/>
        </w:rPr>
        <w:t xml:space="preserve">from artery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Artery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w:t>
      </w:r>
      <w:r w:rsidDel="00000000" w:rsidR="00000000" w:rsidRPr="00000000">
        <w:rPr>
          <w:rFonts w:ascii="Arial" w:cs="Arial" w:eastAsia="Arial" w:hAnsi="Arial"/>
          <w:sz w:val="22"/>
          <w:szCs w:val="22"/>
          <w:highlight w:val="white"/>
          <w:rtl w:val="0"/>
        </w:rPr>
        <w:t xml:space="preserve">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90xE8orO65QYaPi1F5KZ0/dIw==">CgMxLjAyCGguZ2pkZ3hzOAByITE4QXFySWhvcjVESDFJZnA3ZDNjR1RjNGlNdlV2SGl3eQ==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2023-01-04T17:39:00Z</dcterms:created>
  <dc:creator>Jeanne Chang</dc:creator>
</cp:coreProperties>
</file>