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Epithelial Cell Medium (No Phenol Red)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M6621PF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(No Phenol Red) is a complete medium designed for the culture of epithelial cells. It was tested and optimized with epithelial cell growth and proliferation in vitro.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epithelial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(No Phenol Red) Supplement Kit, Cat. No. M6621PF-Kit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Hydrocortisone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M6621PF Supplement Kit (M6621PF-Kit)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antibiotics and fetal bovine serum (FBS)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Media (No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vguNmRumvvqrTV2Q3FZzUiHdFg==">CgMxLjA4AHIhMUVZamhkNC1BeUE3OUFZUDJ2ai1PcXFvNC1kdEF5Qk5L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2017-09-22T18:09:00Z</dcterms:created>
  <dc:creator>Stephen Vogel</dc:creator>
</cp:coreProperties>
</file>