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MCDB 131 Medium (No Phenol Red)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No. M6318PF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MCDB media were developed for the culture of specific cell types without a serum supplement. The media were supplemented with growth factors, hormones, trace elements, or low levels of dialyzed fetal bovine serum protein (FBSP). Each MCDB medium was formulated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 a specific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 type. MCDB 131 medium was originally developed for the clonal growth of human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microvascular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endothelial cells (HMVEC).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D-Glucose</w:t>
        <w:tab/>
        <w:t xml:space="preserve">         1000 mg/L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L-Glutamine</w:t>
        <w:tab/>
        <w:t xml:space="preserve">          No L-Glutamine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HEPES</w:t>
        <w:tab/>
        <w:t xml:space="preserve">                       No HEPES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Sodium Pyruvate        110.04 mg/L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Phenol Red</w:t>
        <w:tab/>
        <w:t xml:space="preserve">          No Phenol Red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Store the basal medium at 2-8°C. The medium can be kept at 4°C for two months. Protect from light.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Medium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PWytlXdINRyNqJ1lYzf+34+kkQ==">CgMxLjA4AHIhMW82ajZGal8wa0dWd0lQMV9vZ2lKODJjMVFTTEtnRGdM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2017-09-22T21:53:00Z</dcterms:created>
  <dc:creator>Stephen Vogel</dc:creator>
</cp:coreProperties>
</file>