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MCDB 131 Medium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No. M6318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MCDB media were developed for the culture of specific cell types without a serum supplement. The media were supplemented with growth factors, hormones, trace elements, or low levels of dialyzed fetal bovine serum protein (FBSP). Each MCDB medium was formulated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 a specific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 type. MCDB 131 medium was originally developed for the clonal growth of human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microvascular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endothelial cells (HMVEC).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D-Glucose</w:t>
        <w:tab/>
        <w:t xml:space="preserve">         1000 mg/L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L-Glutamine</w:t>
        <w:tab/>
        <w:t xml:space="preserve">          No L-Glutamine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HEPES</w:t>
        <w:tab/>
        <w:t xml:space="preserve">                       No HEPES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Sodium Pyruvate        110.04 mg/L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Phenol Red</w:t>
        <w:tab/>
        <w:t xml:space="preserve">          12.42 mg/L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Store the basal medium at 2-8°C. The medium can be kept at 4°C for two months. Protect from light.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9AajB5vH3CV0b0bzxqmCXPqGaA==">CgMxLjA4AHIhMVZzenk3cU5UTWt0TS1hX1Zad2RSbWpkTmxjdXFGU2Rx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2017-09-22T21:53:00Z</dcterms:created>
  <dc:creator>Stephen Vogel</dc:creator>
</cp:coreProperties>
</file>