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4" name="Shape 4"/>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
                <a:graphic>
                  <a:graphicData uri="http://schemas.microsoft.com/office/word/2010/wordprocessingShape">
                    <wps:wsp>
                      <wps:cNvSpPr/>
                      <wps:cNvPr id="2" name="Shape 2"/>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3"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DMEM, with High Glucose, L-glutamine, Sodium Pyruvate and, 25mM HEPES </w:t>
      </w:r>
      <w:r w:rsidDel="00000000" w:rsidR="00000000" w:rsidRPr="00000000">
        <w:rPr>
          <w:rtl w:val="0"/>
        </w:rPr>
      </w:r>
    </w:p>
    <w:p w:rsidR="00000000" w:rsidDel="00000000" w:rsidP="00000000" w:rsidRDefault="00000000" w:rsidRPr="00000000" w14:paraId="00000007">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No. M6216</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Dulbecco's Modified Eagle's Medium (DMEM) is a modification of Basal Medium Eagle (BME), containing four-fold concentrations of the amino acids and vitamins found in BME, as well as additional supplementary components. The original formulation of DMEM contained 1000 mg/L of glucose, but has since been raised in some modifications to 4500 mg/L, giving the terms "Low Glucose" and "High Glucose". Several other modifications over the years, in addition to the alternative glucose levels, have broadened the spectrum of cell types supported by DMEM</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D-glucose</w:t>
        <w:tab/>
        <w:tab/>
        <w:t xml:space="preserve">4500mg/L</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L-Glutamine</w:t>
        <w:tab/>
        <w:tab/>
        <w:t xml:space="preserve">584mg/L</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HEPES</w:t>
        <w:tab/>
        <w:tab/>
        <w:tab/>
        <w:t xml:space="preserve">5958mg/L</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Sodium Pyruvate</w:t>
        <w:tab/>
        <w:t xml:space="preserve">110mg/L</w:t>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Phenol Red</w:t>
        <w:tab/>
        <w:tab/>
        <w:t xml:space="preserve">15mg/L</w:t>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Store the basal medium at 2-8°C. The medium can be kept at 4°C for two months. Protect from light.</w:t>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 assure sterility, the prepared medium should be filtered with a 0.2 um filter after 2 weeks or if there is concern that sterility was compromised during the supplementation process.</w:t>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Ice pack.</w:t>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Cell Medium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is</w:t>
      </w:r>
      <w:r w:rsidDel="00000000" w:rsidR="00000000" w:rsidRPr="00000000">
        <w:rPr>
          <w:rFonts w:ascii="Arial" w:cs="Arial" w:eastAsia="Arial" w:hAnsi="Arial"/>
          <w:sz w:val="20"/>
          <w:szCs w:val="20"/>
          <w:vertAlign w:val="baseline"/>
          <w:rtl w:val="0"/>
        </w:rPr>
        <w:t xml:space="preserv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wFeA9D2aKzFXBf2Sek8xEcAmA==">CgMxLjA4AHIhMVlmU0I4Mzhfb2FTLVdXNW1IZXNyb3daMmxzTi05N0xy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2017-09-22T21:51:00Z</dcterms:created>
  <dc:creator>Stephen Vogel</dc:creator>
</cp:coreProperties>
</file>