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DMEM, High Glucose with L-glutamine and Sodium Pyruvate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No. M6213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Dulbecco's Modified Eagle's Medium (DMEM) is a modification of Basal Medium Eagle (BME), containing four-fold concentrations of the amino acids and vitamins found in BME, as well as additional supplementary components. The original formulation of DMEM contained 1000 mg/L of glucose, but has since been raised in some modifications to 4500 mg/L, giving the terms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"Low Glucose" and "High Glucose".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Several other modifications over the years, in addition to the alternative glucose levels, have broadened the spectrum of cell types supported by DMEM.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D-glucose</w:t>
        <w:tab/>
        <w:tab/>
        <w:t xml:space="preserve">4500mg/L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L-Glutamine</w:t>
        <w:tab/>
        <w:tab/>
        <w:t xml:space="preserve">584mg/L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HEPES</w:t>
        <w:tab/>
        <w:tab/>
        <w:tab/>
        <w:t xml:space="preserve">without HEPES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Sodium Pyruvate</w:t>
        <w:tab/>
        <w:t xml:space="preserve">110mg/L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Phenol Red</w:t>
        <w:tab/>
        <w:tab/>
        <w:t xml:space="preserve">15mg/L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Store the basal medium at 2-8°C. The medium can be kept at 4°C for two months. Protect from light.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sJAL7S6h1U+WD7WQj6Mj0x3Q1Q==">CgMxLjA4AHIhMUpaUTZqZkpIX3BMZzNVN0Jxa2xSOUxBU1F3TEJ2eDY2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2017-09-22T21:49:00Z</dcterms:created>
  <dc:creator>Stephen Vogel</dc:creator>
</cp:coreProperties>
</file>