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6072505" cy="454660"/>
                <wp:effectExtent b="0" l="0" r="0" t="0"/>
                <wp:wrapNone/>
                <wp:docPr id="5"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2309725" y="3552650"/>
                            <a:chExt cx="6072550" cy="454700"/>
                          </a:xfrm>
                        </wpg:grpSpPr>
                        <wps:wsp>
                          <wps:cNvSpPr/>
                          <wps:cNvPr id="4" name="Shape 4"/>
                          <wps:spPr>
                            <a:xfrm>
                              <a:off x="2309725" y="3552650"/>
                              <a:ext cx="6072550" cy="45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09748" y="3552670"/>
                              <a:ext cx="6072505" cy="454660"/>
                              <a:chOff x="1152" y="1152"/>
                              <a:chExt cx="9563" cy="716"/>
                            </a:xfrm>
                          </wpg:grpSpPr>
                          <wps:wsp>
                            <wps:cNvSpPr/>
                            <wps:cNvPr id="6" name="Shape 6"/>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6072505" cy="45466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5014913</wp:posOffset>
                </wp:positionH>
                <wp:positionV relativeFrom="paragraph">
                  <wp:posOffset>4763</wp:posOffset>
                </wp:positionV>
                <wp:extent cx="1922780" cy="401320"/>
                <wp:effectExtent b="0" l="0" r="0" t="0"/>
                <wp:wrapNone/>
                <wp:docPr id="4" name=""/>
                <a:graphic>
                  <a:graphicData uri="http://schemas.microsoft.com/office/word/2010/wordprocessingShape">
                    <wps:wsp>
                      <wps:cNvSpPr/>
                      <wps:cNvPr id="2" name="Shape 2"/>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5014913</wp:posOffset>
                </wp:positionH>
                <wp:positionV relativeFrom="paragraph">
                  <wp:posOffset>4763</wp:posOffset>
                </wp:positionV>
                <wp:extent cx="1922780" cy="40132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-17460</wp:posOffset>
                </wp:positionV>
                <wp:extent cx="6235700" cy="22225"/>
                <wp:effectExtent b="0" l="0" r="0" t="0"/>
                <wp:wrapNone/>
                <wp:docPr id="6"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-17460</wp:posOffset>
                </wp:positionV>
                <wp:extent cx="6235700" cy="22225"/>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35700" cy="22225"/>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Complete Macrophage Medium /w Kit – </w:t>
      </w:r>
      <w:r w:rsidDel="00000000" w:rsidR="00000000" w:rsidRPr="00000000">
        <w:rPr>
          <w:rFonts w:ascii="Arial" w:cs="Arial" w:eastAsia="Arial" w:hAnsi="Arial"/>
          <w:b w:val="1"/>
          <w:bCs w:val="1"/>
          <w:sz w:val="20"/>
          <w:szCs w:val="20"/>
          <w:rtl w:val="0"/>
        </w:rPr>
        <w:t xml:space="preserve">125</w:t>
      </w:r>
      <w:r w:rsidDel="00000000" w:rsidR="00000000" w:rsidRPr="00000000">
        <w:rPr>
          <w:rFonts w:ascii="Arial" w:cs="Arial" w:eastAsia="Arial" w:hAnsi="Arial"/>
          <w:b w:val="1"/>
          <w:bCs w:val="1"/>
          <w:sz w:val="20"/>
          <w:szCs w:val="20"/>
          <w:vertAlign w:val="baseline"/>
          <w:rtl w:val="0"/>
        </w:rPr>
        <w:t xml:space="preserve"> ML</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No: M</w:t>
      </w:r>
      <w:r w:rsidDel="00000000" w:rsidR="00000000" w:rsidRPr="00000000">
        <w:rPr>
          <w:rFonts w:ascii="Arial" w:cs="Arial" w:eastAsia="Arial" w:hAnsi="Arial"/>
          <w:sz w:val="20"/>
          <w:szCs w:val="20"/>
          <w:rtl w:val="0"/>
        </w:rPr>
        <w:t xml:space="preserve">6030</w:t>
      </w: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Macrophage Medium is a complete medium designed for the culture of human and animal (Monkey, Porcine, Canine, Rabbit) macrophages. It was tested and optimized with human and animal macrophage growth in vitro. It is formulated for use with 5% CO2 and 95% air in a humidified incubator. The medium contains essential and non-essential amino acids, vitamins, organic and inorganic compounds, hormones, growth factors, trace minerals), supplemented with macrophage growth supplement, antibiotics, and fetal bovine serum.</w:t>
      </w:r>
      <w:r w:rsidDel="00000000" w:rsidR="00000000" w:rsidRPr="00000000">
        <w:rPr>
          <w:rtl w:val="0"/>
        </w:rPr>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Store the basal medium at -20°C until use. The complete cell culture medium can be kept at 4°C for 6 weeks. Protect from light.</w:t>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To assure sterility, the prepared medium should be filtered with a 0.2 um filter after 2 weeks or if there is concern that sterility was compromised during the supplementation process.</w:t>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D</w:t>
      </w:r>
      <w:r w:rsidDel="00000000" w:rsidR="00000000" w:rsidRPr="00000000">
        <w:rPr>
          <w:rFonts w:ascii="Arial" w:cs="Arial" w:eastAsia="Arial" w:hAnsi="Arial"/>
          <w:sz w:val="20"/>
          <w:szCs w:val="20"/>
          <w:vertAlign w:val="baseline"/>
          <w:rtl w:val="0"/>
        </w:rPr>
        <w:t xml:space="preserve">ry ice.</w:t>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Macrophage Media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are distributed for internal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gMoQpsdioow48knsDTFd6O88A==">CgMxLjA4AHIhMXpMUktPZ1luTnBBWUV6Rzh5Zm1LN0pFWFRTb2JncFdF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2017-09-22T00:42:00Z</dcterms:created>
  <dc:creator>Stephen Vogel</dc:creator>
</cp:coreProperties>
</file>