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Hepatic Stellate Cell Medium/with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M5569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Hepatic Stellate Cell Medium is a medium designed for the culture of human or animal cells. It was tested and optimized with hepatic stellate cell growth in vitro.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medium consists of 500 ml of basal medium (containing essential and non-essential amino acids, vitamins, organic and inorganic compounds, hormones, growth factors, trace minerals).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Hepatic Stellate Cell Medium Supplement Kit, Cat. No. M5569-Kit includes: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0.5 ML Insulin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5.0 ML Penicillin-Streptomycin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  50.0 ML FBS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M5569-Kit into 500ml basal medium.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endothelial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Complete Hepatic Stellate Cell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sihy2GbjSK5v5yhJDjXbV6iJ7w==">CgMxLjA4AHIhMXZ2YmhqempHaXNaOWxid2hfXzJyOHpiS1pJR2NsN2N5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2017-09-22T00:07:00Z</dcterms:created>
  <dc:creator>Stephen Vogel</dc:creator>
</cp:coreProperties>
</file>