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Mesenchymal Stem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M5566GPF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M5566GPF-Kit)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(Glucose and Phenol Red Free) is a complete medium designed for the culture of Mesenchymal Stem Cell. It was tested and optimized with Mesenchymal Stem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Mesenchymal Stem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(Glucose and Phenol Red Free) Supplement Kit, Cat. No. M5566GPF-Kit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Mesenchymal Stem Cells Growth Supplement (100x)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 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           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M5566GPF-Kit to 500ml basal medium.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sNWSR1ilGsB39VGsyIQ197fSA==">CgMxLjA4AHIhMWwyN1FGXy02ZUtDdkxyenRfbU1GMVhQNnBYYkQxZXNG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2017-09-21T23:50:00Z</dcterms:created>
  <dc:creator>Stephen Vogel</dc:creator>
</cp:coreProperties>
</file>