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Complete Neuronal Medium - 50ml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Neuronal Medium is a complete medium designed for the culture of neurons. It was tested and optimized with neuron growth in vitro. It is formulated for use with 5% CO2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medium consists of 50 ml of neuron basal medium (containing essential and non-essential amino acids, vitamins, organic and inorganic compounds, hormones, growth factors, trace minerals), supplemented with neuron growth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Neuronal Medium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Penicillin-Streptomycin Solution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Neuron growth Supplement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medium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Neuronal Medium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2Wgw47zijXeKmevBclJxU0zLgw==">CgMxLjA4AHIhMTdRTktBS2Vfem1rRm5XQXNoQ1k5aG15cEc0TWhzTXEz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2017-09-22T00:42:00Z</dcterms:created>
  <dc:creator>Stephen Vogel</dc:creator>
</cp:coreProperties>
</file>