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2309725" y="3552650"/>
                              <a:chExt cx="6072550" cy="4547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309725" y="3552650"/>
                                <a:ext cx="6072550" cy="45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9748" y="3552670"/>
                                <a:ext cx="6072505" cy="454660"/>
                                <a:chOff x="1152" y="1152"/>
                                <a:chExt cx="9563" cy="716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152" y="1152"/>
                                  <a:ext cx="955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152" y="1152"/>
                                  <a:ext cx="9563" cy="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52" y="1266"/>
                                  <a:ext cx="2686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305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52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Complete Endothelial Cell Growth Medium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269SF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9SF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269SF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Z5TcO+SXhmPTTH8wQKUZ73ORQ==">CgMxLjA4AHIhMXNJaHExSHhIWHJkMlVBYWRaaUFsdzA5MVY4eU1RUThY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