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3"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5" name="Shape 5"/>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2"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rtl w:val="0"/>
        </w:rPr>
        <w:t xml:space="preserve">Fetal Bovine Serum (FBS, </w:t>
      </w:r>
      <w:r w:rsidDel="00000000" w:rsidR="00000000" w:rsidRPr="00000000">
        <w:rPr>
          <w:rFonts w:ascii="Arial" w:cs="Arial" w:eastAsia="Arial" w:hAnsi="Arial"/>
          <w:b w:val="1"/>
          <w:bCs w:val="1"/>
          <w:sz w:val="20"/>
          <w:szCs w:val="20"/>
          <w:vertAlign w:val="baseline"/>
          <w:rtl w:val="0"/>
        </w:rPr>
        <w:t xml:space="preserve">USA origin, sterile-filtered, suitable for cell culture)</w:t>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CB6912</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FBS remains a popular media supplement because it provides a wide array of functions in cell culture. FBS delivers nutrients, growth and attachment factors and protects cells from oxidative damage and apoptosis by mechanisms that are difficult to reproduce in serum-free media (SFM) systems. USA origin, sterile-filtered, suitable for cell culture.</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Store the solution at -20°C.</w:t>
      </w:r>
    </w:p>
    <w:p w:rsidR="00000000" w:rsidDel="00000000" w:rsidP="00000000" w:rsidRDefault="00000000" w:rsidRPr="00000000" w14:paraId="0000001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Dry Ice</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Fetal Bovine Serum (FBS)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are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xQKbIeDl6l/GmWAk3NWO9ljCA==">CgMxLjA4AHIhMWtyRGM1eTFqbmpqRE1jdm1tU29Pak8tLUw3b3dBeUhG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2017-09-23T00:14:00Z</dcterms:created>
  <dc:creator>Stephen Vogel</dc:creator>
</cp:coreProperties>
</file>