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BALB/c Mouse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Dendritic Cells from Cell Biologics are isolated from tibias and femurs of pathogen-free laboratory BALB/c mice.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IrNzkyS6i53RMwW6mT4wfd/YA==">CgMxLjA4AHIhMUp5ZmZZb0o5cWdxQ25SODA5TkpNZXphXy1ROHowMTRC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