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D-6030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Canine Bone Marrow Macrophages from Cell Biologics are isolated from beagle dog 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Canine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Canine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0TUl/ncnj+XATqf+ZykTuP4SQ==">CgMxLjAyCGguZ2pkZ3hzOAByITFVaUR4bDREVUxmXy1NV0xVM3JrYXUzMzQyNkJoRUwydQ==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