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BALB/c Mouse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BALB-5030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Bone Marrow Macrophages from Cell Biologics are isolated from tibias and femurs of pathogen-free laboratory </w:t>
      </w:r>
      <w:r w:rsidDel="00000000" w:rsidR="00000000" w:rsidRPr="00000000">
        <w:rPr>
          <w:rFonts w:ascii="Arial" w:cs="Arial" w:eastAsia="Arial" w:hAnsi="Arial"/>
          <w:sz w:val="22"/>
          <w:szCs w:val="22"/>
          <w:rtl w:val="0"/>
        </w:rPr>
        <w:t xml:space="preserve">BALB/c </w:t>
      </w:r>
      <w:r w:rsidDel="00000000" w:rsidR="00000000" w:rsidRPr="00000000">
        <w:rPr>
          <w:rFonts w:ascii="Arial" w:cs="Arial" w:eastAsia="Arial" w:hAnsi="Arial"/>
          <w:sz w:val="22"/>
          <w:szCs w:val="22"/>
          <w:highlight w:val="white"/>
          <w:rtl w:val="0"/>
        </w:rPr>
        <w:t xml:space="preserve">mice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0b/m0AElgLYszWggqY1zQwReA==">CgMxLjAyCGguZ2pkZ3hzOAByITFjWlNHcldYMFRXSkZ6RXpiSU85VlllOVFveXlIanZYeg==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