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Astrocytes from Cell Biologics are isolated from brain tissue of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PqZoFXKNSVx9qRjhXYri6KU3Q==">CgMxLjA4AHIhMXNJRkQtN2FDWEE2cUUwVXBkT3dqSmRhcERBTE5kNjVs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